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4B3E" w14:textId="0B34CDE7" w:rsidR="00814245" w:rsidRPr="00CE39C5" w:rsidRDefault="00814245" w:rsidP="0093169E">
      <w:pPr>
        <w:pStyle w:val="Header"/>
        <w:jc w:val="center"/>
        <w:rPr>
          <w:rFonts w:ascii="Verdana" w:hAnsi="Verdana"/>
        </w:rPr>
      </w:pPr>
    </w:p>
    <w:p w14:paraId="1D253A01" w14:textId="77777777" w:rsidR="00814245" w:rsidRPr="00896A6D" w:rsidRDefault="00814245" w:rsidP="00814245">
      <w:pPr>
        <w:pStyle w:val="Header"/>
        <w:jc w:val="right"/>
        <w:rPr>
          <w:rFonts w:ascii="Verdana" w:hAnsi="Verdana"/>
          <w:color w:val="323E4F" w:themeColor="text2" w:themeShade="BF"/>
          <w:sz w:val="24"/>
          <w:szCs w:val="24"/>
        </w:rPr>
      </w:pPr>
      <w:r w:rsidRPr="00896A6D">
        <w:rPr>
          <w:rFonts w:ascii="Verdana" w:hAnsi="Verdana"/>
          <w:color w:val="323E4F" w:themeColor="text2" w:themeShade="BF"/>
          <w:sz w:val="24"/>
          <w:szCs w:val="24"/>
        </w:rPr>
        <w:tab/>
        <w:t>UČILIŠTE PIRAMIDA ZNANJA – Ustanova za obrazovanje odraslih</w:t>
      </w:r>
    </w:p>
    <w:p w14:paraId="382EFFD9" w14:textId="77777777" w:rsidR="008A3CA6" w:rsidRPr="00CE39C5" w:rsidRDefault="008A3CA6">
      <w:pPr>
        <w:rPr>
          <w:rFonts w:ascii="Verdana" w:hAnsi="Verdana"/>
        </w:rPr>
      </w:pPr>
    </w:p>
    <w:p w14:paraId="7E19F1BF" w14:textId="77777777" w:rsidR="00814245" w:rsidRPr="00CE39C5" w:rsidRDefault="00814245">
      <w:pPr>
        <w:rPr>
          <w:rFonts w:ascii="Verdana" w:hAnsi="Verdana"/>
        </w:rPr>
      </w:pPr>
    </w:p>
    <w:p w14:paraId="445C20AD" w14:textId="77777777" w:rsidR="00814245" w:rsidRDefault="00814245">
      <w:pPr>
        <w:rPr>
          <w:rFonts w:ascii="Verdana" w:hAnsi="Verdana"/>
        </w:rPr>
      </w:pPr>
    </w:p>
    <w:p w14:paraId="1D5E6318" w14:textId="77777777" w:rsidR="00CE39C5" w:rsidRDefault="00CE39C5">
      <w:pPr>
        <w:rPr>
          <w:rFonts w:ascii="Verdana" w:hAnsi="Verdana"/>
        </w:rPr>
      </w:pPr>
    </w:p>
    <w:p w14:paraId="490C45D1" w14:textId="77777777" w:rsidR="00CE39C5" w:rsidRPr="00CE39C5" w:rsidRDefault="00CE39C5">
      <w:pPr>
        <w:rPr>
          <w:rFonts w:ascii="Verdana" w:hAnsi="Verdana"/>
        </w:rPr>
      </w:pPr>
    </w:p>
    <w:p w14:paraId="76DF424E" w14:textId="77777777" w:rsidR="00814245" w:rsidRPr="00CE39C5" w:rsidRDefault="00814245">
      <w:pPr>
        <w:rPr>
          <w:rFonts w:ascii="Verdana" w:hAnsi="Verdana"/>
        </w:rPr>
      </w:pPr>
    </w:p>
    <w:p w14:paraId="6DFFB34D" w14:textId="77777777" w:rsidR="00896A6D" w:rsidRDefault="00896A6D" w:rsidP="00CE39C5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</w:p>
    <w:p w14:paraId="058E92AD" w14:textId="77777777" w:rsidR="00CE39C5" w:rsidRPr="00CE39C5" w:rsidRDefault="00814245" w:rsidP="00CE39C5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  <w:r w:rsidRPr="00CE39C5">
        <w:rPr>
          <w:rFonts w:ascii="Verdana" w:hAnsi="Verdana"/>
          <w:color w:val="323E4F" w:themeColor="text2" w:themeShade="BF"/>
          <w:sz w:val="40"/>
          <w:szCs w:val="40"/>
        </w:rPr>
        <w:t>ETIČKI KODEKS</w:t>
      </w:r>
    </w:p>
    <w:p w14:paraId="499DBA82" w14:textId="77777777" w:rsidR="00814245" w:rsidRDefault="00CE39C5" w:rsidP="00CE39C5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  <w:r w:rsidRPr="00CE39C5">
        <w:rPr>
          <w:rFonts w:ascii="Verdana" w:hAnsi="Verdana"/>
          <w:color w:val="323E4F" w:themeColor="text2" w:themeShade="BF"/>
          <w:sz w:val="40"/>
          <w:szCs w:val="40"/>
        </w:rPr>
        <w:t>UČILIŠTA PIRAMIDA ZNANJA</w:t>
      </w:r>
    </w:p>
    <w:p w14:paraId="4308E7E4" w14:textId="77777777" w:rsidR="00CE39C5" w:rsidRDefault="00CE39C5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3C9695EA" w14:textId="77777777" w:rsidR="0093169E" w:rsidRPr="007C68CD" w:rsidRDefault="0093169E" w:rsidP="0093169E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7C68CD">
        <w:rPr>
          <w:rFonts w:ascii="Verdana" w:hAnsi="Verdana"/>
          <w:color w:val="323E4F" w:themeColor="text2" w:themeShade="BF"/>
          <w:sz w:val="24"/>
          <w:szCs w:val="24"/>
        </w:rPr>
        <w:t>KLASA: 011-02/23-02/01</w:t>
      </w:r>
    </w:p>
    <w:p w14:paraId="780202ED" w14:textId="5C0BDD0A" w:rsidR="0093169E" w:rsidRPr="00CE39C5" w:rsidRDefault="0093169E" w:rsidP="0093169E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7C68CD">
        <w:rPr>
          <w:rFonts w:ascii="Verdana" w:hAnsi="Verdana"/>
          <w:color w:val="323E4F" w:themeColor="text2" w:themeShade="BF"/>
          <w:sz w:val="24"/>
          <w:szCs w:val="24"/>
        </w:rPr>
        <w:t>URBROJ: 21</w:t>
      </w:r>
      <w:r>
        <w:rPr>
          <w:rFonts w:ascii="Verdana" w:hAnsi="Verdana"/>
          <w:color w:val="323E4F" w:themeColor="text2" w:themeShade="BF"/>
          <w:sz w:val="24"/>
          <w:szCs w:val="24"/>
        </w:rPr>
        <w:t>13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-</w:t>
      </w:r>
      <w:r>
        <w:rPr>
          <w:rFonts w:ascii="Verdana" w:hAnsi="Verdana"/>
          <w:color w:val="323E4F" w:themeColor="text2" w:themeShade="BF"/>
          <w:sz w:val="24"/>
          <w:szCs w:val="24"/>
        </w:rPr>
        <w:t>3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5-23-</w:t>
      </w:r>
      <w:r>
        <w:rPr>
          <w:rFonts w:ascii="Verdana" w:hAnsi="Verdana"/>
          <w:color w:val="323E4F" w:themeColor="text2" w:themeShade="BF"/>
          <w:sz w:val="24"/>
          <w:szCs w:val="24"/>
        </w:rPr>
        <w:t>0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1</w:t>
      </w:r>
    </w:p>
    <w:p w14:paraId="021F1306" w14:textId="77777777" w:rsidR="004C27E9" w:rsidRDefault="004C27E9" w:rsidP="00896A6D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7D297929" w14:textId="77777777" w:rsidR="004C27E9" w:rsidRDefault="004C27E9" w:rsidP="00896A6D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B1A0BA3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713D52CA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589E02C5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40DD3547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0151CC59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3A1926DC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71F4860F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4CC7E556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2BB5DFB2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7B538621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4E4D915B" w14:textId="77777777" w:rsidR="004C27E9" w:rsidRDefault="004C27E9" w:rsidP="00CE39C5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 xml:space="preserve">Zabok, </w:t>
      </w:r>
      <w:r w:rsidR="00896A6D">
        <w:rPr>
          <w:rFonts w:ascii="Verdana" w:hAnsi="Verdana"/>
          <w:color w:val="323E4F" w:themeColor="text2" w:themeShade="BF"/>
          <w:sz w:val="24"/>
          <w:szCs w:val="24"/>
        </w:rPr>
        <w:t>srpanj 2023.</w:t>
      </w:r>
    </w:p>
    <w:p w14:paraId="10CE2328" w14:textId="3B1E001C" w:rsidR="00896A6D" w:rsidRPr="00896A6D" w:rsidRDefault="00896A6D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lastRenderedPageBreak/>
        <w:t>Na temelju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lanka 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40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. Statuta </w:t>
      </w:r>
      <w:r>
        <w:rPr>
          <w:rFonts w:ascii="Verdana" w:hAnsi="Verdana"/>
          <w:color w:val="323E4F" w:themeColor="text2" w:themeShade="BF"/>
          <w:sz w:val="24"/>
          <w:szCs w:val="24"/>
        </w:rPr>
        <w:t>Učilišta Piramida znanja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, </w:t>
      </w:r>
      <w:r w:rsidR="001A64F3" w:rsidRPr="001A64F3">
        <w:rPr>
          <w:rFonts w:ascii="Verdana" w:hAnsi="Verdana"/>
          <w:color w:val="323E4F" w:themeColor="text2" w:themeShade="BF"/>
          <w:sz w:val="24"/>
          <w:szCs w:val="24"/>
        </w:rPr>
        <w:t xml:space="preserve">Upravno vijeće 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ustanove</w:t>
      </w:r>
      <w:r w:rsidR="001A64F3" w:rsidRPr="001A64F3">
        <w:rPr>
          <w:rFonts w:ascii="Verdana" w:hAnsi="Verdana"/>
          <w:color w:val="323E4F" w:themeColor="text2" w:themeShade="BF"/>
          <w:sz w:val="24"/>
          <w:szCs w:val="24"/>
        </w:rPr>
        <w:t>, uz prethodnu suglasnost osnivača Adama Jakova Deaka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,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na sjednici od </w:t>
      </w:r>
      <w:r w:rsidRPr="0093169E">
        <w:rPr>
          <w:rFonts w:ascii="Verdana" w:hAnsi="Verdana"/>
          <w:color w:val="323E4F" w:themeColor="text2" w:themeShade="BF"/>
          <w:sz w:val="24"/>
          <w:szCs w:val="24"/>
        </w:rPr>
        <w:t xml:space="preserve">20. </w:t>
      </w:r>
      <w:r w:rsidR="00E71641">
        <w:rPr>
          <w:rFonts w:ascii="Verdana" w:hAnsi="Verdana"/>
          <w:color w:val="323E4F" w:themeColor="text2" w:themeShade="BF"/>
          <w:sz w:val="24"/>
          <w:szCs w:val="24"/>
        </w:rPr>
        <w:t>travnja</w:t>
      </w:r>
      <w:r w:rsidRPr="0093169E">
        <w:rPr>
          <w:rFonts w:ascii="Verdana" w:hAnsi="Verdana"/>
          <w:color w:val="323E4F" w:themeColor="text2" w:themeShade="BF"/>
          <w:sz w:val="24"/>
          <w:szCs w:val="24"/>
        </w:rPr>
        <w:t xml:space="preserve"> 2023.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godine donosi Eti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ki kodeks ustanove koji za cilj </w:t>
      </w:r>
      <w:r w:rsidR="001A64F3"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ima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o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uvanje integriteta</w:t>
      </w:r>
      <w:r w:rsidR="00EF5AFA">
        <w:rPr>
          <w:rFonts w:ascii="Verdana" w:hAnsi="Verdana"/>
          <w:color w:val="323E4F" w:themeColor="text2" w:themeShade="BF"/>
          <w:sz w:val="24"/>
          <w:szCs w:val="24"/>
        </w:rPr>
        <w:t xml:space="preserve"> te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prevenciju i sankcioniranje svih oblika neeti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kog pona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anja </w:t>
      </w:r>
      <w:r w:rsidR="00EF5AFA">
        <w:rPr>
          <w:rFonts w:ascii="Verdana" w:hAnsi="Verdana"/>
          <w:color w:val="323E4F" w:themeColor="text2" w:themeShade="BF"/>
          <w:sz w:val="24"/>
          <w:szCs w:val="24"/>
        </w:rPr>
        <w:t>uz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osigura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vanje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osnovn</w:t>
      </w:r>
      <w:r w:rsidR="00EF5AFA">
        <w:rPr>
          <w:rFonts w:ascii="Verdana" w:hAnsi="Verdana"/>
          <w:color w:val="323E4F" w:themeColor="text2" w:themeShade="BF"/>
          <w:sz w:val="24"/>
          <w:szCs w:val="24"/>
        </w:rPr>
        <w:t>ih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eti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k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ih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standard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a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 za sve dionike obrazovanj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 xml:space="preserve">a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odraslih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="00EF5AFA">
        <w:rPr>
          <w:rFonts w:ascii="Verdana" w:hAnsi="Verdana"/>
          <w:color w:val="323E4F" w:themeColor="text2" w:themeShade="BF"/>
          <w:sz w:val="24"/>
          <w:szCs w:val="24"/>
        </w:rPr>
        <w:t xml:space="preserve">odnosno za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>polaznike, djelatnike, nastavnike</w:t>
      </w:r>
      <w:r w:rsidR="00EF5AFA">
        <w:rPr>
          <w:rFonts w:ascii="Verdana" w:hAnsi="Verdana"/>
          <w:color w:val="323E4F" w:themeColor="text2" w:themeShade="BF"/>
          <w:sz w:val="24"/>
          <w:szCs w:val="24"/>
        </w:rPr>
        <w:t xml:space="preserve">, </w:t>
      </w:r>
      <w:r w:rsidR="00EA0689">
        <w:rPr>
          <w:rFonts w:ascii="Verdana" w:hAnsi="Verdana"/>
          <w:color w:val="323E4F" w:themeColor="text2" w:themeShade="BF"/>
          <w:sz w:val="24"/>
          <w:szCs w:val="24"/>
        </w:rPr>
        <w:t xml:space="preserve">i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suradnike 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 xml:space="preserve">u okviru </w:t>
      </w:r>
      <w:r w:rsidRPr="00896A6D">
        <w:rPr>
          <w:rFonts w:ascii="Verdana" w:hAnsi="Verdana"/>
          <w:color w:val="323E4F" w:themeColor="text2" w:themeShade="BF"/>
          <w:sz w:val="24"/>
          <w:szCs w:val="24"/>
        </w:rPr>
        <w:t xml:space="preserve">prostora </w:t>
      </w:r>
      <w:r w:rsidR="001A64F3">
        <w:rPr>
          <w:rFonts w:ascii="Verdana" w:hAnsi="Verdana"/>
          <w:color w:val="323E4F" w:themeColor="text2" w:themeShade="BF"/>
          <w:sz w:val="24"/>
          <w:szCs w:val="24"/>
        </w:rPr>
        <w:t>Učilišta Piramida znanja.</w:t>
      </w:r>
    </w:p>
    <w:p w14:paraId="4F2779DE" w14:textId="77777777" w:rsidR="00896A6D" w:rsidRPr="00896A6D" w:rsidRDefault="00896A6D" w:rsidP="00896A6D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87B064D" w14:textId="77777777" w:rsidR="00896A6D" w:rsidRPr="00B24C09" w:rsidRDefault="00896A6D" w:rsidP="00896A6D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B24C09">
        <w:rPr>
          <w:rFonts w:ascii="Verdana" w:hAnsi="Verdana"/>
          <w:b/>
          <w:color w:val="323E4F" w:themeColor="text2" w:themeShade="BF"/>
          <w:sz w:val="24"/>
          <w:szCs w:val="24"/>
        </w:rPr>
        <w:t>ETI</w:t>
      </w:r>
      <w:r w:rsidR="001A64F3" w:rsidRPr="00B24C09">
        <w:rPr>
          <w:rFonts w:ascii="Verdana" w:hAnsi="Verdana"/>
          <w:b/>
          <w:color w:val="323E4F" w:themeColor="text2" w:themeShade="BF"/>
          <w:sz w:val="24"/>
          <w:szCs w:val="24"/>
        </w:rPr>
        <w:t>Č</w:t>
      </w:r>
      <w:r w:rsidRPr="00B24C09">
        <w:rPr>
          <w:rFonts w:ascii="Verdana" w:hAnsi="Verdana"/>
          <w:b/>
          <w:color w:val="323E4F" w:themeColor="text2" w:themeShade="BF"/>
          <w:sz w:val="24"/>
          <w:szCs w:val="24"/>
        </w:rPr>
        <w:t>KI KODEKS U</w:t>
      </w:r>
      <w:r w:rsidR="001A64F3" w:rsidRPr="00B24C09">
        <w:rPr>
          <w:rFonts w:ascii="Verdana" w:hAnsi="Verdana"/>
          <w:b/>
          <w:color w:val="323E4F" w:themeColor="text2" w:themeShade="BF"/>
          <w:sz w:val="24"/>
          <w:szCs w:val="24"/>
        </w:rPr>
        <w:t>Č</w:t>
      </w:r>
      <w:r w:rsidRPr="00B24C09">
        <w:rPr>
          <w:rFonts w:ascii="Verdana" w:hAnsi="Verdana"/>
          <w:b/>
          <w:color w:val="323E4F" w:themeColor="text2" w:themeShade="BF"/>
          <w:sz w:val="24"/>
          <w:szCs w:val="24"/>
        </w:rPr>
        <w:t>ILI</w:t>
      </w:r>
      <w:r w:rsidR="001A64F3" w:rsidRPr="00B24C09">
        <w:rPr>
          <w:rFonts w:ascii="Verdana" w:hAnsi="Verdana"/>
          <w:b/>
          <w:color w:val="323E4F" w:themeColor="text2" w:themeShade="BF"/>
          <w:sz w:val="24"/>
          <w:szCs w:val="24"/>
        </w:rPr>
        <w:t>Š</w:t>
      </w:r>
      <w:r w:rsidRPr="00B24C09">
        <w:rPr>
          <w:rFonts w:ascii="Verdana" w:hAnsi="Verdana"/>
          <w:b/>
          <w:color w:val="323E4F" w:themeColor="text2" w:themeShade="BF"/>
          <w:sz w:val="24"/>
          <w:szCs w:val="24"/>
        </w:rPr>
        <w:t>TA</w:t>
      </w:r>
      <w:r w:rsidR="001A64F3" w:rsidRPr="00B24C09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PIRAMIDA ZNANJA</w:t>
      </w:r>
    </w:p>
    <w:p w14:paraId="62AD8AD7" w14:textId="77777777" w:rsidR="00EF5AFA" w:rsidRDefault="00EF5AFA" w:rsidP="00896A6D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6B45643" w14:textId="77777777" w:rsidR="00EA0689" w:rsidRPr="00CF1FDC" w:rsidRDefault="00EA0689" w:rsidP="00EA0689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I. OPĆE ODREDBE</w:t>
      </w:r>
    </w:p>
    <w:p w14:paraId="3F5E215B" w14:textId="77777777" w:rsidR="00EA0689" w:rsidRPr="00CF1FDC" w:rsidRDefault="00EA0689" w:rsidP="00EA0689">
      <w:pPr>
        <w:rPr>
          <w:rFonts w:ascii="Verdana" w:hAnsi="Verdana"/>
          <w:color w:val="323E4F" w:themeColor="text2" w:themeShade="BF"/>
          <w:sz w:val="10"/>
          <w:szCs w:val="10"/>
        </w:rPr>
      </w:pPr>
    </w:p>
    <w:p w14:paraId="193271CF" w14:textId="77777777" w:rsidR="001821DD" w:rsidRDefault="001821DD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ab/>
      </w:r>
      <w:r>
        <w:rPr>
          <w:rFonts w:ascii="Verdana" w:hAnsi="Verdana"/>
          <w:color w:val="323E4F" w:themeColor="text2" w:themeShade="BF"/>
          <w:sz w:val="24"/>
          <w:szCs w:val="24"/>
        </w:rPr>
        <w:tab/>
      </w:r>
      <w:r>
        <w:rPr>
          <w:rFonts w:ascii="Verdana" w:hAnsi="Verdana"/>
          <w:color w:val="323E4F" w:themeColor="text2" w:themeShade="BF"/>
          <w:sz w:val="24"/>
          <w:szCs w:val="24"/>
        </w:rPr>
        <w:tab/>
      </w:r>
      <w:r>
        <w:rPr>
          <w:rFonts w:ascii="Verdana" w:hAnsi="Verdana"/>
          <w:color w:val="323E4F" w:themeColor="text2" w:themeShade="BF"/>
          <w:sz w:val="24"/>
          <w:szCs w:val="24"/>
        </w:rPr>
        <w:tab/>
        <w:t>Svrha i temeljna načela</w:t>
      </w:r>
    </w:p>
    <w:p w14:paraId="3F44CC32" w14:textId="77777777" w:rsidR="001821DD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lanak 1.</w:t>
      </w:r>
    </w:p>
    <w:p w14:paraId="4D5A6445" w14:textId="77777777" w:rsidR="001821DD" w:rsidRPr="001821DD" w:rsidRDefault="001821DD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 xml:space="preserve">Ovim Etičkim kodeksom utvrđuju se temeljna etička načela i 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načela profesionalne etike kao i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pravila ponašanja zaposlenika, vanjskih suradnika, nastavnika i polaznika Ustanove za obrazovanje odraslih s ciljem osiguravanja profesionalnog, odgovornog i pravednog djelovanja u obrazovnom procesu.</w:t>
      </w:r>
    </w:p>
    <w:p w14:paraId="1FC57732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Temeljna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etička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 xml:space="preserve"> načela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na kojima se temelji rad ustanove:</w:t>
      </w:r>
    </w:p>
    <w:p w14:paraId="757A819E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poštivanja ljudskog dostojanstva</w:t>
      </w:r>
    </w:p>
    <w:p w14:paraId="77CB7D09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jednakosti i nediskriminacije</w:t>
      </w:r>
    </w:p>
    <w:p w14:paraId="5488BF2D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profesionalne odgovornosti</w:t>
      </w:r>
    </w:p>
    <w:p w14:paraId="1D1AF366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akademskog integriteta</w:t>
      </w:r>
    </w:p>
    <w:p w14:paraId="2DF83F90" w14:textId="77777777" w:rsidR="001821DD" w:rsidRPr="001821DD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zaštite privatnosti i osobnih podataka</w:t>
      </w:r>
    </w:p>
    <w:p w14:paraId="27AB30EF" w14:textId="3B73AD64" w:rsidR="001821DD" w:rsidRPr="00EA0689" w:rsidRDefault="001821DD" w:rsidP="001821DD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1821DD">
        <w:rPr>
          <w:rFonts w:ascii="Verdana" w:hAnsi="Verdana"/>
          <w:color w:val="323E4F" w:themeColor="text2" w:themeShade="BF"/>
          <w:sz w:val="24"/>
          <w:szCs w:val="24"/>
        </w:rPr>
        <w:t>•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1821DD">
        <w:rPr>
          <w:rFonts w:ascii="Verdana" w:hAnsi="Verdana"/>
          <w:color w:val="323E4F" w:themeColor="text2" w:themeShade="BF"/>
          <w:sz w:val="24"/>
          <w:szCs w:val="24"/>
        </w:rPr>
        <w:t>cjeloživotnog učenja i odgovorne primjene novih tehnologi</w:t>
      </w:r>
      <w:r w:rsidR="00644034">
        <w:rPr>
          <w:rFonts w:ascii="Verdana" w:hAnsi="Verdana"/>
          <w:color w:val="323E4F" w:themeColor="text2" w:themeShade="BF"/>
          <w:sz w:val="24"/>
          <w:szCs w:val="24"/>
        </w:rPr>
        <w:t>ja</w:t>
      </w:r>
    </w:p>
    <w:p w14:paraId="6D810E73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0B143283" w14:textId="77777777" w:rsidR="00EA0689" w:rsidRPr="00EA0689" w:rsidRDefault="00EA0689" w:rsidP="00EA0689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Dostojanstvo ljudske osobe</w:t>
      </w:r>
    </w:p>
    <w:p w14:paraId="20E29240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lanak 2.</w:t>
      </w:r>
    </w:p>
    <w:p w14:paraId="2F115FBE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Svi dionici trebaju biti po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tivani 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jednako te su svi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osobe sa zajam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enim pravima na 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ivot, integritet i dostojanstvo.</w:t>
      </w:r>
    </w:p>
    <w:p w14:paraId="4892C23B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Svim dionicima mora biti osigurano pravo na privatnost.</w:t>
      </w:r>
    </w:p>
    <w:p w14:paraId="413232D7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lastRenderedPageBreak/>
        <w:t>Svi dionici moraju se voditi na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elom uzajamnog priznavanja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po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tovanja te na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elom kolegijalnosti.</w:t>
      </w:r>
    </w:p>
    <w:p w14:paraId="3DD5410A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92CFBCB" w14:textId="77777777" w:rsidR="00EA0689" w:rsidRPr="00EA0689" w:rsidRDefault="00EA0689" w:rsidP="00EA0689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Jednakost i pravednost</w:t>
      </w:r>
    </w:p>
    <w:p w14:paraId="0DC46873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lanak 3.</w:t>
      </w:r>
    </w:p>
    <w:p w14:paraId="42E7C51D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Temelj jednakosti jest osobno dostojanstvo te su svi dionici jednaki u svojem ljudskom dostojanstvu i pravednosti.</w:t>
      </w:r>
    </w:p>
    <w:p w14:paraId="5081D25C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Učilište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ima nulti prag tolerancije na bilo kakav oblik diskriminacije, vrije</w:t>
      </w:r>
      <w:r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anja, nasilja, zlostavljanja, uznemiravanja i</w:t>
      </w:r>
      <w:r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iskori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tavanja bilo kojeg pojedinca.</w:t>
      </w:r>
    </w:p>
    <w:p w14:paraId="1F6FF1AF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Svim dionicima zajam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eni su jednaki uvjeti za napredak i razvoj u smislu obrazovanja te profesionalnog napretka i razvoja.</w:t>
      </w:r>
    </w:p>
    <w:p w14:paraId="24978D62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Od svih dionika o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ekuje se da djeluju u skladu s odredbama eti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kodeksa.</w:t>
      </w:r>
    </w:p>
    <w:p w14:paraId="6517B507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988B1DF" w14:textId="77777777" w:rsidR="00EA0689" w:rsidRPr="00EA0689" w:rsidRDefault="00EA0689" w:rsidP="00EA0689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Sl</w:t>
      </w:r>
      <w:r>
        <w:rPr>
          <w:rFonts w:ascii="Verdana" w:hAnsi="Verdana"/>
          <w:color w:val="323E4F" w:themeColor="text2" w:themeShade="BF"/>
          <w:sz w:val="24"/>
          <w:szCs w:val="24"/>
        </w:rPr>
        <w:t>o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boda mi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ljenja, izra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 i podu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</w:t>
      </w:r>
    </w:p>
    <w:p w14:paraId="6C1C9A2A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lanak 4.</w:t>
      </w:r>
    </w:p>
    <w:p w14:paraId="20533B84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Učilište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poti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 slobodu mi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ljenja i izra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kod svih dionika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>, a n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astavnicima jam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slobodu odabira metode po</w:t>
      </w:r>
      <w:r>
        <w:rPr>
          <w:rFonts w:ascii="Verdana" w:hAnsi="Verdana"/>
          <w:color w:val="323E4F" w:themeColor="text2" w:themeShade="BF"/>
          <w:sz w:val="24"/>
          <w:szCs w:val="24"/>
        </w:rPr>
        <w:t>d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 u slu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bi kvalitete nastavnog procesa te postizanja ishoda u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enja uz po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tivanje zadanog nastavnog plana i programa.</w:t>
      </w:r>
    </w:p>
    <w:p w14:paraId="341EECFA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21760B3D" w14:textId="77777777" w:rsidR="00EA0689" w:rsidRPr="00EA0689" w:rsidRDefault="00EA0689" w:rsidP="00EA0689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</w:t>
      </w:r>
      <w:r>
        <w:rPr>
          <w:rFonts w:ascii="Verdana" w:hAnsi="Verdana"/>
          <w:color w:val="323E4F" w:themeColor="text2" w:themeShade="BF"/>
          <w:sz w:val="24"/>
          <w:szCs w:val="24"/>
        </w:rPr>
        <w:t>čel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o profesionalnosti</w:t>
      </w:r>
    </w:p>
    <w:p w14:paraId="4899E386" w14:textId="77777777" w:rsidR="00EA0689" w:rsidRPr="00EA0689" w:rsidRDefault="00964030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5.</w:t>
      </w:r>
    </w:p>
    <w:p w14:paraId="52BA66A4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Svi dionici du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ni su po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tivati na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ela profesionalnog pona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anja, kolegijalnosti i me</w:t>
      </w:r>
      <w:r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usobnog uva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avanja.</w:t>
      </w:r>
    </w:p>
    <w:p w14:paraId="54008F0C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Nedopustiv je bilo kakav oblik omalova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avanja, vrije</w:t>
      </w:r>
      <w:r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anja i neuljudnog pona</w:t>
      </w:r>
      <w:r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anja prema kolegama, bilo da je rije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o djelatnicima, nastavnicima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 xml:space="preserve">,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suradnicima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 xml:space="preserve"> ili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polaznicima.</w:t>
      </w:r>
    </w:p>
    <w:p w14:paraId="347CA7A9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Djelatnici, nastavnici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 xml:space="preserve"> i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suradnici ne smiju zloupotrebljavati svoj autoritet i funkciju unutar 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ilista za osobnu korist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 xml:space="preserve"> te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moraju biti nepristrani, objektivni i profesionalni pri obavljanju svojih du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nosti.</w:t>
      </w:r>
    </w:p>
    <w:p w14:paraId="2D38D23E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lastRenderedPageBreak/>
        <w:t>Dionici ne smiju bez odobrenja i na neprimjeren na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 koristiti logotip 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, a s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vi dionici du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ni su se odgovorno odnositi prema imovini i resursima 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 xml:space="preserve">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77E651D0" w14:textId="77777777" w:rsidR="005350BF" w:rsidRDefault="005350BF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</w:p>
    <w:p w14:paraId="59DD88BB" w14:textId="77777777" w:rsidR="005350BF" w:rsidRDefault="00EA0689" w:rsidP="005350BF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Odnos prema polaznicima</w:t>
      </w:r>
    </w:p>
    <w:p w14:paraId="22D344A1" w14:textId="77777777" w:rsidR="00EA0689" w:rsidRPr="00EA0689" w:rsidRDefault="005350BF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6.</w:t>
      </w:r>
    </w:p>
    <w:p w14:paraId="1DFC8E09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Nastavnici, suradnici i djelatnici U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ta 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 xml:space="preserve">Piramida znanja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moraju se objektivno i nepristrano odnositi prema polaznicima, kao najva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nije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m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dionik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u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obrazovnog procesa, uva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avaju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i njihovu osobnost i 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ivotno iskustvo, primjenjuju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andrago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ke metode po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d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</w:t>
      </w:r>
      <w:r w:rsidR="00964030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avanja.</w:t>
      </w:r>
    </w:p>
    <w:p w14:paraId="7CE1B5EC" w14:textId="77777777" w:rsidR="00964030" w:rsidRDefault="00964030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7A0D29F3" w14:textId="77777777" w:rsidR="00EA0689" w:rsidRPr="00EA0689" w:rsidRDefault="00EA0689" w:rsidP="005350BF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Po</w:t>
      </w:r>
      <w:r w:rsidR="005350B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tivanje zakona i pravnih propisa</w:t>
      </w:r>
    </w:p>
    <w:p w14:paraId="660F3BFF" w14:textId="77777777" w:rsidR="00EA0689" w:rsidRPr="00EA0689" w:rsidRDefault="00964030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7.</w:t>
      </w:r>
    </w:p>
    <w:p w14:paraId="717D950D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te 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ima obvezu upoznati sve dionike sa svim pravilima vezanim uz njihove obveze.</w:t>
      </w:r>
    </w:p>
    <w:p w14:paraId="79CC17BE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Sporna pitanja dionici 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 nastojati rije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iti dogovorno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, a r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je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avanje sporova izvan 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 treba ograni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iti na nu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ne slu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ajeve.</w:t>
      </w:r>
    </w:p>
    <w:p w14:paraId="25B7D653" w14:textId="77777777" w:rsid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18A60333" w14:textId="77777777" w:rsidR="00CF1FDC" w:rsidRPr="00EA0689" w:rsidRDefault="00CF1FDC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3D57539" w14:textId="77777777" w:rsidR="00EA0689" w:rsidRPr="00CF1FDC" w:rsidRDefault="00EA0689" w:rsidP="00EA0689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II.</w:t>
      </w:r>
      <w:r w:rsidR="009A1476" w:rsidRPr="00CF1FDC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NEPRIHVAT</w:t>
      </w:r>
      <w:r w:rsidR="009A1476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LJI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IVA PONA</w:t>
      </w:r>
      <w:r w:rsidR="009A1476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Š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ANJA</w:t>
      </w:r>
    </w:p>
    <w:p w14:paraId="1EFEE04E" w14:textId="77777777" w:rsidR="00CF1FDC" w:rsidRPr="00CF1FDC" w:rsidRDefault="00CF1FDC" w:rsidP="009A1476">
      <w:pPr>
        <w:jc w:val="center"/>
        <w:rPr>
          <w:rFonts w:ascii="Verdana" w:hAnsi="Verdana"/>
          <w:color w:val="323E4F" w:themeColor="text2" w:themeShade="BF"/>
          <w:sz w:val="10"/>
          <w:szCs w:val="10"/>
        </w:rPr>
      </w:pPr>
    </w:p>
    <w:p w14:paraId="32EFC696" w14:textId="77777777" w:rsidR="00EA0689" w:rsidRPr="00EA0689" w:rsidRDefault="00EA0689" w:rsidP="009A1476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Diskriminacija</w:t>
      </w:r>
    </w:p>
    <w:p w14:paraId="33A22F73" w14:textId="77777777" w:rsidR="00EA0689" w:rsidRPr="00EA0689" w:rsidRDefault="009A1476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8.</w:t>
      </w:r>
    </w:p>
    <w:p w14:paraId="70032923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U skladu s 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lankom 3. Eti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kog kodeksa nije dozvoljen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nijedan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oblik diskriminacije, uklju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uju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diskriminaciju temeljem rasne, religijske, etni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ke 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nacionalne pripadnosti, prema spolu, spolnoj orijentaciji, imovinskom stanju, invaliditetu, bolesti, tjelesnom izgledu, politi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kom opredjeljenju i svim drugim oblicima diskriminacije koji umanjuju ljudsku vrijednost 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zajam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ena prava na ljudsko dostojanstvo i slobodu.</w:t>
      </w:r>
    </w:p>
    <w:p w14:paraId="444E262A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051AFC3E" w14:textId="77777777" w:rsidR="00EA0689" w:rsidRPr="00EA0689" w:rsidRDefault="00EA0689" w:rsidP="004338F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Uznemiravanje</w:t>
      </w:r>
    </w:p>
    <w:p w14:paraId="774B87F9" w14:textId="77777777" w:rsidR="00EA0689" w:rsidRPr="00EA0689" w:rsidRDefault="004338FC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9.</w:t>
      </w:r>
    </w:p>
    <w:p w14:paraId="27AC572A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lastRenderedPageBreak/>
        <w:t>Nije dopu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ten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nijedan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oblik uznemiravanja.</w:t>
      </w:r>
    </w:p>
    <w:p w14:paraId="1998BBE7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Uznemiravanjem se smatra svako neprimjereno pona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anje prema drugoj osobi kojim se naru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 osobno dostojanstvo osobe. Uznemiravanjem se smatra i svaki verbalni, neverbalni i fizi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ki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 koji poni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ava, vrije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a </w:t>
      </w:r>
      <w:r w:rsidR="00CF1FDC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stavlja osobu u neugodnu poziciju.</w:t>
      </w:r>
    </w:p>
    <w:p w14:paraId="136D5800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Neprihvatljiv je svaki oblik spolnog uznemiravanja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to uklju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uje verbalne i fizi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ke prijedloge spolne naravi drugoj osobi, neprimjerene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ale na tu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 spolnu orijentaciju te zahtijevanje spolnih usluga u zamjenu za odre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eno djelovanje.</w:t>
      </w:r>
    </w:p>
    <w:p w14:paraId="64D5ABA0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Svaki dionik ima pravo prijaviti uznemiravanje koje je nad njim po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injeno unutar 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ta.</w:t>
      </w:r>
    </w:p>
    <w:p w14:paraId="7425F8BB" w14:textId="77777777" w:rsidR="004338FC" w:rsidRDefault="004338FC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6FC41571" w14:textId="77777777" w:rsidR="00EA0689" w:rsidRPr="00EA0689" w:rsidRDefault="00EA0689" w:rsidP="004338F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Nasilje i zlostavljanje</w:t>
      </w:r>
    </w:p>
    <w:p w14:paraId="50778576" w14:textId="77777777" w:rsidR="00EA0689" w:rsidRPr="00EA0689" w:rsidRDefault="004338FC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10.</w:t>
      </w:r>
    </w:p>
    <w:p w14:paraId="1447F1FC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U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te</w:t>
      </w:r>
      <w:r w:rsidR="009A1476">
        <w:rPr>
          <w:rFonts w:ascii="Verdana" w:hAnsi="Verdana"/>
          <w:color w:val="323E4F" w:themeColor="text2" w:themeShade="BF"/>
          <w:sz w:val="24"/>
          <w:szCs w:val="24"/>
        </w:rPr>
        <w:t xml:space="preserve">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ne tolerira 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nijedan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oblik fizi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psihi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nasilja i zlostavljanja unutar svoje ustanove.</w:t>
      </w:r>
    </w:p>
    <w:p w14:paraId="271B1C87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6222190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766E65D4" w14:textId="77777777" w:rsidR="00EA0689" w:rsidRPr="00CF1FDC" w:rsidRDefault="004338FC" w:rsidP="00EA0689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III</w:t>
      </w:r>
      <w:r w:rsidR="00EA0689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="00EA0689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ETI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Č</w:t>
      </w:r>
      <w:r w:rsidR="00EA0689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KA PRAVILA U NASTAVNOM RADU</w:t>
      </w:r>
    </w:p>
    <w:p w14:paraId="04457207" w14:textId="77777777" w:rsidR="00CF1FDC" w:rsidRPr="00CF1FDC" w:rsidRDefault="00CF1FDC" w:rsidP="004338FC">
      <w:pPr>
        <w:jc w:val="center"/>
        <w:rPr>
          <w:rFonts w:ascii="Verdana" w:hAnsi="Verdana"/>
          <w:color w:val="323E4F" w:themeColor="text2" w:themeShade="BF"/>
          <w:sz w:val="10"/>
          <w:szCs w:val="10"/>
        </w:rPr>
      </w:pPr>
    </w:p>
    <w:p w14:paraId="77341B54" w14:textId="77777777" w:rsidR="00EA0689" w:rsidRPr="00EA0689" w:rsidRDefault="00EA0689" w:rsidP="004338F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Du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nosti nastavnika</w:t>
      </w:r>
    </w:p>
    <w:p w14:paraId="25096CD7" w14:textId="77777777" w:rsidR="00EA0689" w:rsidRPr="00EA0689" w:rsidRDefault="00CA7A3A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11.</w:t>
      </w:r>
    </w:p>
    <w:p w14:paraId="75A12960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Nastavnici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 xml:space="preserve"> i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suradnici koji sudjeluju u izvo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enju nastave moraju:</w:t>
      </w:r>
    </w:p>
    <w:p w14:paraId="42BD4DB2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Arial" w:hAnsi="Arial" w:cs="Arial"/>
          <w:color w:val="323E4F" w:themeColor="text2" w:themeShade="BF"/>
          <w:sz w:val="24"/>
          <w:szCs w:val="24"/>
        </w:rPr>
        <w:t>■</w:t>
      </w:r>
      <w:r w:rsidR="00547C40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stru</w:t>
      </w:r>
      <w:r w:rsidR="004338FC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 i savjesno prenositi nastavne sadr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aje</w:t>
      </w:r>
    </w:p>
    <w:p w14:paraId="735A8F63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Arial" w:hAnsi="Arial" w:cs="Arial"/>
          <w:color w:val="323E4F" w:themeColor="text2" w:themeShade="BF"/>
          <w:sz w:val="24"/>
          <w:szCs w:val="24"/>
        </w:rPr>
        <w:t>■</w:t>
      </w:r>
      <w:r w:rsidR="00547C40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izgraditi odnos me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usobnog povjerenja s polaznicima</w:t>
      </w:r>
    </w:p>
    <w:p w14:paraId="743BAE1D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Arial" w:hAnsi="Arial" w:cs="Arial"/>
          <w:color w:val="323E4F" w:themeColor="text2" w:themeShade="BF"/>
          <w:sz w:val="24"/>
          <w:szCs w:val="24"/>
        </w:rPr>
        <w:t>■</w:t>
      </w:r>
      <w:r w:rsidR="00547C40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nepristrano vrednovati rad polaznika prema zadanim kriterijima vrednovanja</w:t>
      </w:r>
    </w:p>
    <w:p w14:paraId="30939721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2919ABED" w14:textId="77777777" w:rsidR="00EA0689" w:rsidRPr="00EA0689" w:rsidRDefault="00EA0689" w:rsidP="00CA7A3A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Prepisivanje i p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agiranje</w:t>
      </w:r>
    </w:p>
    <w:p w14:paraId="58E55BE4" w14:textId="77777777" w:rsidR="00EA0689" w:rsidRPr="00EA0689" w:rsidRDefault="00CA7A3A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12.</w:t>
      </w:r>
    </w:p>
    <w:p w14:paraId="72032DE4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Prilikom provjere znanja nastavnik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ne smije dopustiti prepisivanje, jer se time umanjuje vrijednost ocjenjivanja i vrednovanja rada polaznika.</w:t>
      </w:r>
    </w:p>
    <w:p w14:paraId="7F046B86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lastRenderedPageBreak/>
        <w:t>Nastavni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k</w:t>
      </w:r>
      <w:r w:rsidR="00CA7A3A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ne smije dopustiti niti jedan oblik plagiranja tu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ih radova i ideja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to se smatra povredom intelektualnog vlasni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tva.</w:t>
      </w:r>
    </w:p>
    <w:p w14:paraId="679E02DE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Svaki oblik prepisivanja na ispitima i plagiranje smatra se povredom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kodeksa.</w:t>
      </w:r>
    </w:p>
    <w:p w14:paraId="33E0DCFC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48A7D52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FF6A175" w14:textId="77777777" w:rsidR="00EA0689" w:rsidRPr="00CF1FDC" w:rsidRDefault="00EA0689" w:rsidP="00EA0689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IV.</w:t>
      </w:r>
      <w:r w:rsidR="0069094E" w:rsidRPr="00CF1FDC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 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PROVEDBA ETI</w:t>
      </w:r>
      <w:r w:rsidR="0069094E" w:rsidRPr="00CF1FDC">
        <w:rPr>
          <w:rFonts w:ascii="Verdana" w:hAnsi="Verdana"/>
          <w:b/>
          <w:color w:val="323E4F" w:themeColor="text2" w:themeShade="BF"/>
          <w:sz w:val="24"/>
          <w:szCs w:val="24"/>
        </w:rPr>
        <w:t>Č</w:t>
      </w:r>
      <w:r w:rsidRPr="00CF1FDC">
        <w:rPr>
          <w:rFonts w:ascii="Verdana" w:hAnsi="Verdana"/>
          <w:b/>
          <w:color w:val="323E4F" w:themeColor="text2" w:themeShade="BF"/>
          <w:sz w:val="24"/>
          <w:szCs w:val="24"/>
        </w:rPr>
        <w:t>KOG KODEKSA</w:t>
      </w:r>
    </w:p>
    <w:p w14:paraId="139CEA36" w14:textId="77777777" w:rsidR="00CF1FDC" w:rsidRPr="00CF1FDC" w:rsidRDefault="00CF1FDC" w:rsidP="00EA0689">
      <w:pPr>
        <w:rPr>
          <w:rFonts w:ascii="Verdana" w:hAnsi="Verdana"/>
          <w:color w:val="323E4F" w:themeColor="text2" w:themeShade="BF"/>
          <w:sz w:val="10"/>
          <w:szCs w:val="10"/>
        </w:rPr>
      </w:pPr>
    </w:p>
    <w:p w14:paraId="05D1D1E4" w14:textId="77777777" w:rsidR="00EA0689" w:rsidRPr="00EA0689" w:rsidRDefault="0069094E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13.</w:t>
      </w:r>
    </w:p>
    <w:p w14:paraId="5D6DDB1D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U cilju stvaranja uvjeta za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 pona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,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ravnatelj je du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an osigurati sve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to je potrebno za provedbu ovog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kodeksa.</w:t>
      </w:r>
    </w:p>
    <w:p w14:paraId="5A7BC5B8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tivanje odredbi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kog kodeksa obvezno je za sve dionike koji obavljaju djelatnost </w:t>
      </w:r>
      <w:r w:rsidR="0069094E" w:rsidRPr="0069094E">
        <w:rPr>
          <w:rFonts w:ascii="Verdana" w:hAnsi="Verdana"/>
          <w:color w:val="323E4F" w:themeColor="text2" w:themeShade="BF"/>
          <w:sz w:val="24"/>
          <w:szCs w:val="24"/>
        </w:rPr>
        <w:t>Učilišt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a</w:t>
      </w:r>
      <w:r w:rsidR="0069094E" w:rsidRPr="0069094E">
        <w:rPr>
          <w:rFonts w:ascii="Verdana" w:hAnsi="Verdana"/>
          <w:color w:val="323E4F" w:themeColor="text2" w:themeShade="BF"/>
          <w:sz w:val="24"/>
          <w:szCs w:val="24"/>
        </w:rPr>
        <w:t xml:space="preserve">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595D0A0B" w14:textId="77777777" w:rsidR="00EA0689" w:rsidRPr="00EA0689" w:rsidRDefault="00EA0689" w:rsidP="00CF1FD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Podno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enje prijave</w:t>
      </w:r>
    </w:p>
    <w:p w14:paraId="61573EE8" w14:textId="77777777" w:rsidR="00EA0689" w:rsidRPr="00EA0689" w:rsidRDefault="0069094E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14.</w:t>
      </w:r>
    </w:p>
    <w:p w14:paraId="6B152E3C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Svi dionici imaju pravo i du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nost prijaviti pona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anje 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poslovanje koje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je protivno odredbama ovog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kodeksa.</w:t>
      </w:r>
    </w:p>
    <w:p w14:paraId="269B997A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Podaci o podnositelju prijave smatraju se povjerljivim podacima i mora se osigurati njihova tajnost.</w:t>
      </w:r>
    </w:p>
    <w:p w14:paraId="3A5BA387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Prijave iz stavka 1. ovog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lanka podnose se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kom povjerenstvu pisanim putem 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l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 na adresu elektroni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ke po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te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ustanove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, koja je objavljena na web stranicama 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ta.</w:t>
      </w:r>
    </w:p>
    <w:p w14:paraId="689D5373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769741B5" w14:textId="77777777" w:rsidR="00EA0689" w:rsidRPr="00EA0689" w:rsidRDefault="00EA0689" w:rsidP="00CF1FD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Nadzor i nadle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nost za rje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avanje prijava</w:t>
      </w:r>
    </w:p>
    <w:p w14:paraId="23C0C247" w14:textId="77777777" w:rsidR="00EA0689" w:rsidRPr="00EA0689" w:rsidRDefault="0069094E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15.</w:t>
      </w:r>
    </w:p>
    <w:p w14:paraId="34E9EBA5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Nadzor nad prijavama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provodi ravnatelj te o uo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enim povredama obavje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tava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 povjerenstvo.</w:t>
      </w:r>
    </w:p>
    <w:p w14:paraId="0D01E838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 povjerenstvo nadle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no </w:t>
      </w:r>
      <w:r w:rsidR="0069094E"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je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za rje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avanje prijava iz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lanka 14. ovog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kog kodeksa o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emu ravnatelju podnosi izvje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 s obrazlo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že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nim mi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ljenjem.</w:t>
      </w:r>
    </w:p>
    <w:p w14:paraId="1D366691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Nakon utvr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ene povrede 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kodeksa, pokre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 se postupak za sankcioniranje povrede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 xml:space="preserve"> odnosno 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po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initelja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,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sukladno zakonskim aktima na koje se povreda odnosi.</w:t>
      </w:r>
    </w:p>
    <w:p w14:paraId="4B098152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lastRenderedPageBreak/>
        <w:t>Bez obzira na na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 podno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enja prijave, zajam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eno je brzo i 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inkovito rje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avanje pritu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bi s kojima se postupa u povjerenju.</w:t>
      </w:r>
    </w:p>
    <w:p w14:paraId="46B30CEB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Eti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ko povjerenstvo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ine predsjednik i dva 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lana koje imenuje i razrje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ava Upravno vije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ć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,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a imenuje ih se iz redova zaposlenika i/ili osniva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a U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ta</w:t>
      </w:r>
      <w:r w:rsidR="0069094E">
        <w:rPr>
          <w:rFonts w:ascii="Verdana" w:hAnsi="Verdana"/>
          <w:color w:val="323E4F" w:themeColor="text2" w:themeShade="BF"/>
          <w:sz w:val="24"/>
          <w:szCs w:val="24"/>
        </w:rPr>
        <w:t xml:space="preserve"> Piramida znanja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5E035CF3" w14:textId="77777777" w:rsidR="00EA0689" w:rsidRDefault="0069094E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lanom Eti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kog povjerenstva ne m</w:t>
      </w:r>
      <w:r>
        <w:rPr>
          <w:rFonts w:ascii="Verdana" w:hAnsi="Verdana"/>
          <w:color w:val="323E4F" w:themeColor="text2" w:themeShade="BF"/>
          <w:sz w:val="24"/>
          <w:szCs w:val="24"/>
        </w:rPr>
        <w:t>ož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e se imenovati zaposlenik kojemu je izre</w:t>
      </w: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ena kazna </w:t>
      </w:r>
      <w:r w:rsidR="00CF1FDC">
        <w:rPr>
          <w:rFonts w:ascii="Verdana" w:hAnsi="Verdana"/>
          <w:color w:val="323E4F" w:themeColor="text2" w:themeShade="BF"/>
          <w:sz w:val="24"/>
          <w:szCs w:val="24"/>
        </w:rPr>
        <w:t>ili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mjera za povredu slu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bene du</w:t>
      </w:r>
      <w:r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nosti.</w:t>
      </w:r>
    </w:p>
    <w:p w14:paraId="4211BE5A" w14:textId="77777777" w:rsidR="0068117C" w:rsidRDefault="0068117C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3DC06800" w14:textId="77777777" w:rsidR="0068117C" w:rsidRPr="0068117C" w:rsidRDefault="0068117C" w:rsidP="0068117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Uporaba umjetne inteligencije i etički izazovi</w:t>
      </w:r>
    </w:p>
    <w:p w14:paraId="196291A8" w14:textId="77777777" w:rsidR="0068117C" w:rsidRPr="0068117C" w:rsidRDefault="0068117C" w:rsidP="0068117C">
      <w:pPr>
        <w:rPr>
          <w:rFonts w:ascii="Verdana" w:hAnsi="Verdana"/>
          <w:color w:val="323E4F" w:themeColor="text2" w:themeShade="BF"/>
          <w:sz w:val="24"/>
          <w:szCs w:val="24"/>
        </w:rPr>
      </w:pPr>
      <w:bookmarkStart w:id="0" w:name="_Hlk220075884"/>
      <w:r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Članak </w:t>
      </w:r>
      <w:r>
        <w:rPr>
          <w:rFonts w:ascii="Verdana" w:hAnsi="Verdana"/>
          <w:color w:val="323E4F" w:themeColor="text2" w:themeShade="BF"/>
          <w:sz w:val="24"/>
          <w:szCs w:val="24"/>
        </w:rPr>
        <w:t>16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26054D5E" w14:textId="72897661" w:rsidR="00E9766B" w:rsidRPr="0068117C" w:rsidRDefault="00E9766B" w:rsidP="00E9766B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Učilište Piramida znanja</w:t>
      </w:r>
      <w:r w:rsidR="0068117C"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prepoznaje uporabu umjetne inteligencije (AI) kao 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pomoćno </w:t>
      </w:r>
      <w:r w:rsidR="0068117C" w:rsidRPr="0068117C">
        <w:rPr>
          <w:rFonts w:ascii="Verdana" w:hAnsi="Verdana"/>
          <w:color w:val="323E4F" w:themeColor="text2" w:themeShade="BF"/>
          <w:sz w:val="24"/>
          <w:szCs w:val="24"/>
        </w:rPr>
        <w:t>sredstvo koje može</w:t>
      </w:r>
      <w:r w:rsidR="006277A0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>
        <w:rPr>
          <w:rFonts w:ascii="Verdana" w:hAnsi="Verdana"/>
          <w:color w:val="323E4F" w:themeColor="text2" w:themeShade="BF"/>
          <w:sz w:val="24"/>
          <w:szCs w:val="24"/>
        </w:rPr>
        <w:t>pružiti podršku</w:t>
      </w:r>
      <w:r w:rsidR="0068117C"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kvalitet</w:t>
      </w:r>
      <w:r>
        <w:rPr>
          <w:rFonts w:ascii="Verdana" w:hAnsi="Verdana"/>
          <w:color w:val="323E4F" w:themeColor="text2" w:themeShade="BF"/>
          <w:sz w:val="24"/>
          <w:szCs w:val="24"/>
        </w:rPr>
        <w:t>i</w:t>
      </w:r>
      <w:r w:rsidR="0068117C"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obrazovanja odraslih, uz obvezu njezine odgovorne, transparentne i etički prihvatljive primjene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i osiguravanje 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>stručn</w:t>
      </w:r>
      <w:r>
        <w:rPr>
          <w:rFonts w:ascii="Verdana" w:hAnsi="Verdana"/>
          <w:color w:val="323E4F" w:themeColor="text2" w:themeShade="BF"/>
          <w:sz w:val="24"/>
          <w:szCs w:val="24"/>
        </w:rPr>
        <w:t>e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>, pedagošk</w:t>
      </w:r>
      <w:r>
        <w:rPr>
          <w:rFonts w:ascii="Verdana" w:hAnsi="Verdana"/>
          <w:color w:val="323E4F" w:themeColor="text2" w:themeShade="BF"/>
          <w:sz w:val="24"/>
          <w:szCs w:val="24"/>
        </w:rPr>
        <w:t>e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i profesionaln</w:t>
      </w:r>
      <w:r>
        <w:rPr>
          <w:rFonts w:ascii="Verdana" w:hAnsi="Verdana"/>
          <w:color w:val="323E4F" w:themeColor="text2" w:themeShade="BF"/>
          <w:sz w:val="24"/>
          <w:szCs w:val="24"/>
        </w:rPr>
        <w:t>e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prosudb</w:t>
      </w:r>
      <w:r>
        <w:rPr>
          <w:rFonts w:ascii="Verdana" w:hAnsi="Verdana"/>
          <w:color w:val="323E4F" w:themeColor="text2" w:themeShade="BF"/>
          <w:sz w:val="24"/>
          <w:szCs w:val="24"/>
        </w:rPr>
        <w:t>e</w:t>
      </w:r>
      <w:r w:rsidRPr="0068117C">
        <w:rPr>
          <w:rFonts w:ascii="Verdana" w:hAnsi="Verdana"/>
          <w:color w:val="323E4F" w:themeColor="text2" w:themeShade="BF"/>
          <w:sz w:val="24"/>
          <w:szCs w:val="24"/>
        </w:rPr>
        <w:t xml:space="preserve"> nastavnika, stručnih suradnika ili drugih odgovornih osoba.</w:t>
      </w:r>
    </w:p>
    <w:p w14:paraId="135BB114" w14:textId="77777777" w:rsidR="0068117C" w:rsidRPr="0068117C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Polaznici i zaposlenici imaju pravo biti jasno i pravodobno informirani o uporabi AI alata u obrazovnom procesu, uključujući njihovu svrhu, opseg i moguća ograničenja.</w:t>
      </w:r>
    </w:p>
    <w:p w14:paraId="3FA51878" w14:textId="77777777" w:rsidR="0068117C" w:rsidRPr="0068117C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Korištenje AI alata u izradi nastavnih obveza dopušteno je samo u skladu s pravilima programa i uputama nastavnika. Neprijavljeno ili neprimjereno korištenje AI-ja koje dovodi u pitanje autentičnost rada smatra se kršenjem akademskog integriteta.</w:t>
      </w:r>
    </w:p>
    <w:p w14:paraId="3BA88305" w14:textId="77777777" w:rsidR="0068117C" w:rsidRPr="0068117C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Ustanova je dužna osigurati da uporaba AI-ja ne dovodi do nepravednog postupanja, diskriminacije ili digitalne nejednakosti među polaznicima, uzimajući u obzir različite razine digitalnih kompetencija odraslih osoba.</w:t>
      </w:r>
    </w:p>
    <w:p w14:paraId="4AB71EF9" w14:textId="77777777" w:rsidR="0068117C" w:rsidRPr="0068117C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Sve odluke koje imaju značajan utjecaj na prava, obveze ili obrazovni status polaznika ne smiju se temeljiti isključivo na automatiziranoj obradi podataka, već moraju uključivati ljudski nadzor i odgovornost.</w:t>
      </w:r>
    </w:p>
    <w:p w14:paraId="6E2C0D39" w14:textId="77777777" w:rsidR="0068117C" w:rsidRPr="0068117C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Pri korištenju umjetne inteligencije mora se osigurati zaštita osobnih i osjetljivih podataka, u skladu s važećim propisima o zaštiti podataka i načelom minimalne obrade.</w:t>
      </w:r>
    </w:p>
    <w:p w14:paraId="2B042A96" w14:textId="77777777" w:rsidR="0068117C" w:rsidRPr="00EA0689" w:rsidRDefault="0068117C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68117C">
        <w:rPr>
          <w:rFonts w:ascii="Verdana" w:hAnsi="Verdana"/>
          <w:color w:val="323E4F" w:themeColor="text2" w:themeShade="BF"/>
          <w:sz w:val="24"/>
          <w:szCs w:val="24"/>
        </w:rPr>
        <w:t>Ustanova potiče razvoj digitalnih i etičkih kompetencija polaznika i zaposlenika te promiče odgovorno, zakonito i profesionalno korištenje umjetne inteligencije u obrazovanju i radu.</w:t>
      </w:r>
    </w:p>
    <w:p w14:paraId="59E27F1A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bookmarkEnd w:id="0"/>
    <w:p w14:paraId="02B27468" w14:textId="77777777" w:rsidR="00EA0689" w:rsidRPr="00B30D0F" w:rsidRDefault="00EA0689" w:rsidP="00EA0689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B30D0F">
        <w:rPr>
          <w:rFonts w:ascii="Verdana" w:hAnsi="Verdana"/>
          <w:b/>
          <w:color w:val="323E4F" w:themeColor="text2" w:themeShade="BF"/>
          <w:sz w:val="24"/>
          <w:szCs w:val="24"/>
        </w:rPr>
        <w:lastRenderedPageBreak/>
        <w:t>V. ZAVR</w:t>
      </w:r>
      <w:r w:rsidR="0069094E" w:rsidRPr="00B30D0F">
        <w:rPr>
          <w:rFonts w:ascii="Verdana" w:hAnsi="Verdana"/>
          <w:b/>
          <w:color w:val="323E4F" w:themeColor="text2" w:themeShade="BF"/>
          <w:sz w:val="24"/>
          <w:szCs w:val="24"/>
        </w:rPr>
        <w:t>Š</w:t>
      </w:r>
      <w:r w:rsidRPr="00B30D0F">
        <w:rPr>
          <w:rFonts w:ascii="Verdana" w:hAnsi="Verdana"/>
          <w:b/>
          <w:color w:val="323E4F" w:themeColor="text2" w:themeShade="BF"/>
          <w:sz w:val="24"/>
          <w:szCs w:val="24"/>
        </w:rPr>
        <w:t>NE ODREDBE</w:t>
      </w:r>
    </w:p>
    <w:p w14:paraId="132870DB" w14:textId="77777777" w:rsidR="00EA0689" w:rsidRPr="00CF1FDC" w:rsidRDefault="00EA0689" w:rsidP="00EA0689">
      <w:pPr>
        <w:rPr>
          <w:rFonts w:ascii="Verdana" w:hAnsi="Verdana"/>
          <w:color w:val="323E4F" w:themeColor="text2" w:themeShade="BF"/>
          <w:sz w:val="10"/>
          <w:szCs w:val="10"/>
        </w:rPr>
      </w:pPr>
    </w:p>
    <w:p w14:paraId="117E4872" w14:textId="77777777" w:rsidR="00EA0689" w:rsidRPr="00EA0689" w:rsidRDefault="00B30D0F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</w:t>
      </w:r>
      <w:r w:rsidR="0068117C">
        <w:rPr>
          <w:rFonts w:ascii="Verdana" w:hAnsi="Verdana"/>
          <w:color w:val="323E4F" w:themeColor="text2" w:themeShade="BF"/>
          <w:sz w:val="24"/>
          <w:szCs w:val="24"/>
        </w:rPr>
        <w:t>7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34AE0173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Obveza je svakog dionika biti upoznat s Eti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kim kodeksom u svrhu osiguranja po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tivanja temeljnih na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ela koje on sadr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i.</w:t>
      </w:r>
    </w:p>
    <w:p w14:paraId="127A6FEC" w14:textId="77777777" w:rsidR="00EA0689" w:rsidRPr="00EA0689" w:rsidRDefault="00EA0689" w:rsidP="001821DD">
      <w:pPr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Du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ž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nost je svakog dionika da uka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že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i izvijesti o povredi Eti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kog kodeksa, ukoliko do nje do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đ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 i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li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 xml:space="preserve"> posjeduje saznanja o istom.</w:t>
      </w:r>
    </w:p>
    <w:p w14:paraId="7E246DB9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6924CDD" w14:textId="77777777" w:rsidR="00EA0689" w:rsidRPr="00EA0689" w:rsidRDefault="00EA0689" w:rsidP="00B30D0F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Stupanje na snagu</w:t>
      </w:r>
    </w:p>
    <w:p w14:paraId="459BA176" w14:textId="77777777" w:rsidR="00B30D0F" w:rsidRDefault="00B30D0F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lanak 1</w:t>
      </w:r>
      <w:r w:rsidR="0068117C">
        <w:rPr>
          <w:rFonts w:ascii="Verdana" w:hAnsi="Verdana"/>
          <w:color w:val="323E4F" w:themeColor="text2" w:themeShade="BF"/>
          <w:sz w:val="24"/>
          <w:szCs w:val="24"/>
        </w:rPr>
        <w:t>8</w:t>
      </w:r>
      <w:r w:rsidR="00EA0689" w:rsidRPr="00EA0689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7E8E0A46" w14:textId="77777777" w:rsidR="00EA0689" w:rsidRP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EA0689">
        <w:rPr>
          <w:rFonts w:ascii="Verdana" w:hAnsi="Verdana"/>
          <w:color w:val="323E4F" w:themeColor="text2" w:themeShade="BF"/>
          <w:sz w:val="24"/>
          <w:szCs w:val="24"/>
        </w:rPr>
        <w:t>Eti</w:t>
      </w:r>
      <w:r w:rsidR="00166653">
        <w:rPr>
          <w:rFonts w:ascii="Verdana" w:hAnsi="Verdana"/>
          <w:color w:val="323E4F" w:themeColor="text2" w:themeShade="BF"/>
          <w:sz w:val="24"/>
          <w:szCs w:val="24"/>
        </w:rPr>
        <w:t>č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ki kodeks stupa na snagu s danom dono</w:t>
      </w:r>
      <w:r w:rsidR="00B30D0F">
        <w:rPr>
          <w:rFonts w:ascii="Verdana" w:hAnsi="Verdana"/>
          <w:color w:val="323E4F" w:themeColor="text2" w:themeShade="BF"/>
          <w:sz w:val="24"/>
          <w:szCs w:val="24"/>
        </w:rPr>
        <w:t>š</w:t>
      </w:r>
      <w:r w:rsidRPr="00EA0689">
        <w:rPr>
          <w:rFonts w:ascii="Verdana" w:hAnsi="Verdana"/>
          <w:color w:val="323E4F" w:themeColor="text2" w:themeShade="BF"/>
          <w:sz w:val="24"/>
          <w:szCs w:val="24"/>
        </w:rPr>
        <w:t>enja.</w:t>
      </w:r>
    </w:p>
    <w:p w14:paraId="2A2D1A8A" w14:textId="77777777" w:rsidR="00EA0689" w:rsidRDefault="00EA0689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1F5FE465" w14:textId="5F35D90A" w:rsidR="00EA0689" w:rsidRDefault="0093169E" w:rsidP="0093169E">
      <w:pPr>
        <w:ind w:left="5387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Predsjednica Upravnog vijeća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_______________________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Suzana Deak, prof.</w:t>
      </w:r>
    </w:p>
    <w:p w14:paraId="5619F751" w14:textId="0868D647" w:rsidR="0093169E" w:rsidRDefault="0093169E" w:rsidP="00EA0689">
      <w:pPr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 xml:space="preserve">Datum: 20. </w:t>
      </w:r>
      <w:r w:rsidR="00E71641">
        <w:rPr>
          <w:rFonts w:ascii="Verdana" w:hAnsi="Verdana"/>
          <w:color w:val="323E4F" w:themeColor="text2" w:themeShade="BF"/>
          <w:sz w:val="24"/>
          <w:szCs w:val="24"/>
        </w:rPr>
        <w:t>travnja</w:t>
      </w:r>
      <w:bookmarkStart w:id="1" w:name="_GoBack"/>
      <w:bookmarkEnd w:id="1"/>
      <w:r>
        <w:rPr>
          <w:rFonts w:ascii="Verdana" w:hAnsi="Verdana"/>
          <w:color w:val="323E4F" w:themeColor="text2" w:themeShade="BF"/>
          <w:sz w:val="24"/>
          <w:szCs w:val="24"/>
        </w:rPr>
        <w:t xml:space="preserve"> 2023. godine</w:t>
      </w:r>
    </w:p>
    <w:p w14:paraId="00BA4881" w14:textId="77777777" w:rsidR="00C86DF8" w:rsidRPr="007C68CD" w:rsidRDefault="00C86DF8" w:rsidP="00C86DF8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7C68CD">
        <w:rPr>
          <w:rFonts w:ascii="Verdana" w:hAnsi="Verdana"/>
          <w:color w:val="323E4F" w:themeColor="text2" w:themeShade="BF"/>
          <w:sz w:val="24"/>
          <w:szCs w:val="24"/>
        </w:rPr>
        <w:t>KLASA: 011-02/23-02/01</w:t>
      </w:r>
    </w:p>
    <w:p w14:paraId="057C33F1" w14:textId="77777777" w:rsidR="00C86DF8" w:rsidRPr="00CE39C5" w:rsidRDefault="00C86DF8" w:rsidP="00C86DF8">
      <w:pPr>
        <w:rPr>
          <w:rFonts w:ascii="Verdana" w:hAnsi="Verdana"/>
          <w:color w:val="323E4F" w:themeColor="text2" w:themeShade="BF"/>
          <w:sz w:val="24"/>
          <w:szCs w:val="24"/>
        </w:rPr>
      </w:pPr>
      <w:r w:rsidRPr="007C68CD">
        <w:rPr>
          <w:rFonts w:ascii="Verdana" w:hAnsi="Verdana"/>
          <w:color w:val="323E4F" w:themeColor="text2" w:themeShade="BF"/>
          <w:sz w:val="24"/>
          <w:szCs w:val="24"/>
        </w:rPr>
        <w:t>URBROJ: 21</w:t>
      </w:r>
      <w:r>
        <w:rPr>
          <w:rFonts w:ascii="Verdana" w:hAnsi="Verdana"/>
          <w:color w:val="323E4F" w:themeColor="text2" w:themeShade="BF"/>
          <w:sz w:val="24"/>
          <w:szCs w:val="24"/>
        </w:rPr>
        <w:t>13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-</w:t>
      </w:r>
      <w:r>
        <w:rPr>
          <w:rFonts w:ascii="Verdana" w:hAnsi="Verdana"/>
          <w:color w:val="323E4F" w:themeColor="text2" w:themeShade="BF"/>
          <w:sz w:val="24"/>
          <w:szCs w:val="24"/>
        </w:rPr>
        <w:t>3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5-23-</w:t>
      </w:r>
      <w:r>
        <w:rPr>
          <w:rFonts w:ascii="Verdana" w:hAnsi="Verdana"/>
          <w:color w:val="323E4F" w:themeColor="text2" w:themeShade="BF"/>
          <w:sz w:val="24"/>
          <w:szCs w:val="24"/>
        </w:rPr>
        <w:t>0</w:t>
      </w:r>
      <w:r w:rsidRPr="007C68CD">
        <w:rPr>
          <w:rFonts w:ascii="Verdana" w:hAnsi="Verdana"/>
          <w:color w:val="323E4F" w:themeColor="text2" w:themeShade="BF"/>
          <w:sz w:val="24"/>
          <w:szCs w:val="24"/>
        </w:rPr>
        <w:t>1</w:t>
      </w:r>
    </w:p>
    <w:p w14:paraId="11FBF78C" w14:textId="25C48F4D" w:rsidR="00EF5AFA" w:rsidRPr="00CE39C5" w:rsidRDefault="00EF5AFA" w:rsidP="00C86DF8">
      <w:pPr>
        <w:rPr>
          <w:rFonts w:ascii="Verdana" w:hAnsi="Verdana"/>
          <w:color w:val="323E4F" w:themeColor="text2" w:themeShade="BF"/>
          <w:sz w:val="24"/>
          <w:szCs w:val="24"/>
        </w:rPr>
      </w:pPr>
    </w:p>
    <w:sectPr w:rsidR="00EF5AFA" w:rsidRPr="00CE39C5" w:rsidSect="009316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E176E" w14:textId="77777777" w:rsidR="00E71641" w:rsidRDefault="00E71641" w:rsidP="00350716">
      <w:pPr>
        <w:spacing w:after="0" w:line="240" w:lineRule="auto"/>
      </w:pPr>
      <w:r>
        <w:separator/>
      </w:r>
    </w:p>
  </w:endnote>
  <w:endnote w:type="continuationSeparator" w:id="0">
    <w:p w14:paraId="62E41071" w14:textId="77777777" w:rsidR="00E71641" w:rsidRDefault="00E71641" w:rsidP="00350716">
      <w:pPr>
        <w:spacing w:after="0" w:line="240" w:lineRule="auto"/>
      </w:pPr>
      <w:r>
        <w:continuationSeparator/>
      </w:r>
    </w:p>
  </w:endnote>
  <w:endnote w:type="continuationNotice" w:id="1">
    <w:p w14:paraId="69B088CC" w14:textId="77777777" w:rsidR="00EE2611" w:rsidRDefault="00EE2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5E0BD" w14:textId="77777777" w:rsidR="00E71641" w:rsidRDefault="00E71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F1E6" w14:textId="77777777" w:rsidR="00E71641" w:rsidRDefault="00E71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BFA0" w14:textId="77777777" w:rsidR="00E71641" w:rsidRDefault="00E71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74606" w14:textId="77777777" w:rsidR="00E71641" w:rsidRDefault="00E71641" w:rsidP="00350716">
      <w:pPr>
        <w:spacing w:after="0" w:line="240" w:lineRule="auto"/>
      </w:pPr>
      <w:r>
        <w:separator/>
      </w:r>
    </w:p>
  </w:footnote>
  <w:footnote w:type="continuationSeparator" w:id="0">
    <w:p w14:paraId="515A7D58" w14:textId="77777777" w:rsidR="00E71641" w:rsidRDefault="00E71641" w:rsidP="00350716">
      <w:pPr>
        <w:spacing w:after="0" w:line="240" w:lineRule="auto"/>
      </w:pPr>
      <w:r>
        <w:continuationSeparator/>
      </w:r>
    </w:p>
  </w:footnote>
  <w:footnote w:type="continuationNotice" w:id="1">
    <w:p w14:paraId="0D91434C" w14:textId="77777777" w:rsidR="00EE2611" w:rsidRDefault="00EE2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BA1C" w14:textId="77777777" w:rsidR="00E71641" w:rsidRDefault="00E71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43073" w14:textId="03CBDD81" w:rsidR="00E71641" w:rsidRDefault="00E71641" w:rsidP="0093169E">
    <w:pPr>
      <w:pStyle w:val="Header"/>
      <w:jc w:val="center"/>
    </w:pPr>
    <w:r w:rsidRPr="00CE39C5">
      <w:rPr>
        <w:rFonts w:ascii="Verdana" w:hAnsi="Verdana"/>
        <w:noProof/>
      </w:rPr>
      <w:drawing>
        <wp:inline distT="0" distB="0" distL="0" distR="0" wp14:anchorId="3EFD5563" wp14:editId="17C1814C">
          <wp:extent cx="2343150" cy="885825"/>
          <wp:effectExtent l="0" t="0" r="0" b="9525"/>
          <wp:docPr id="1" name="Picture 1" descr="C:\Users\korisnik\AppData\Local\Microsoft\Windows\INetCache\Content.MSO\933EE9E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933EE9E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17C7" w14:textId="77777777" w:rsidR="00E71641" w:rsidRDefault="00E71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50"/>
    <w:rsid w:val="00166653"/>
    <w:rsid w:val="001821DD"/>
    <w:rsid w:val="001A41DF"/>
    <w:rsid w:val="001A64F3"/>
    <w:rsid w:val="001E5550"/>
    <w:rsid w:val="002D75E2"/>
    <w:rsid w:val="00350716"/>
    <w:rsid w:val="004338FC"/>
    <w:rsid w:val="0044450C"/>
    <w:rsid w:val="004C27E9"/>
    <w:rsid w:val="00504B0A"/>
    <w:rsid w:val="005350BF"/>
    <w:rsid w:val="00547C40"/>
    <w:rsid w:val="00622698"/>
    <w:rsid w:val="006277A0"/>
    <w:rsid w:val="00644034"/>
    <w:rsid w:val="0068117C"/>
    <w:rsid w:val="0069094E"/>
    <w:rsid w:val="00702774"/>
    <w:rsid w:val="007C68CD"/>
    <w:rsid w:val="00814245"/>
    <w:rsid w:val="00896A6D"/>
    <w:rsid w:val="008A3CA6"/>
    <w:rsid w:val="0093169E"/>
    <w:rsid w:val="00964030"/>
    <w:rsid w:val="009A1476"/>
    <w:rsid w:val="00AA63DD"/>
    <w:rsid w:val="00B24C09"/>
    <w:rsid w:val="00B30D0F"/>
    <w:rsid w:val="00C86DF8"/>
    <w:rsid w:val="00CA7A3A"/>
    <w:rsid w:val="00CE39C5"/>
    <w:rsid w:val="00CF1FDC"/>
    <w:rsid w:val="00E71641"/>
    <w:rsid w:val="00E9766B"/>
    <w:rsid w:val="00EA0689"/>
    <w:rsid w:val="00EE2611"/>
    <w:rsid w:val="00E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79EBF2"/>
  <w15:chartTrackingRefBased/>
  <w15:docId w15:val="{1752E65B-2731-4ED5-844E-E64CA92D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16"/>
  </w:style>
  <w:style w:type="paragraph" w:styleId="Footer">
    <w:name w:val="footer"/>
    <w:basedOn w:val="Normal"/>
    <w:link w:val="FooterChar"/>
    <w:uiPriority w:val="99"/>
    <w:unhideWhenUsed/>
    <w:rsid w:val="0035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16"/>
  </w:style>
  <w:style w:type="paragraph" w:customStyle="1" w:styleId="paragraph">
    <w:name w:val="paragraph"/>
    <w:basedOn w:val="Normal"/>
    <w:rsid w:val="0035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50716"/>
  </w:style>
  <w:style w:type="character" w:customStyle="1" w:styleId="eop">
    <w:name w:val="eop"/>
    <w:basedOn w:val="DefaultParagraphFont"/>
    <w:rsid w:val="00350716"/>
  </w:style>
  <w:style w:type="character" w:customStyle="1" w:styleId="tabchar">
    <w:name w:val="tabchar"/>
    <w:basedOn w:val="DefaultParagraphFont"/>
    <w:rsid w:val="0035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BD0A68725346920CD2452CF98116" ma:contentTypeVersion="12" ma:contentTypeDescription="Stvaranje novog dokumenta." ma:contentTypeScope="" ma:versionID="311bee40f1067c378dafe264966e01cc">
  <xsd:schema xmlns:xsd="http://www.w3.org/2001/XMLSchema" xmlns:xs="http://www.w3.org/2001/XMLSchema" xmlns:p="http://schemas.microsoft.com/office/2006/metadata/properties" xmlns:ns2="ced14ab6-96f2-4bcd-af7d-2837a1099a3f" xmlns:ns3="eefe8ae9-d8b0-4b36-82f3-d3a840510480" targetNamespace="http://schemas.microsoft.com/office/2006/metadata/properties" ma:root="true" ma:fieldsID="1db05aa1ae7df86402963c33d9451e7d" ns2:_="" ns3:_="">
    <xsd:import namespace="ced14ab6-96f2-4bcd-af7d-2837a1099a3f"/>
    <xsd:import namespace="eefe8ae9-d8b0-4b36-82f3-d3a84051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ab6-96f2-4bcd-af7d-2837a10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c10bbb3-01fa-4a98-aca8-68caaa2d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8ae9-d8b0-4b36-82f3-d3a840510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652d7-cf93-4d5f-ad0c-1a3c43d6a595}" ma:internalName="TaxCatchAll" ma:showField="CatchAllData" ma:web="eefe8ae9-d8b0-4b36-82f3-d3a84051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8ae9-d8b0-4b36-82f3-d3a840510480" xsi:nil="true"/>
    <lcf76f155ced4ddcb4097134ff3c332f xmlns="ced14ab6-96f2-4bcd-af7d-2837a1099a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DC6E5-8CB9-4F19-A9C4-16DE563F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4ab6-96f2-4bcd-af7d-2837a1099a3f"/>
    <ds:schemaRef ds:uri="eefe8ae9-d8b0-4b36-82f3-d3a84051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544F9-58DB-4F4F-846E-D30B70B1B8F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ed14ab6-96f2-4bcd-af7d-2837a1099a3f"/>
    <ds:schemaRef ds:uri="eefe8ae9-d8b0-4b36-82f3-d3a84051048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4E51AB-1AE8-4C7E-8ACA-CBFA15B06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Učilište Piramida znanja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Ravnatelj Učilište Piramida znanja</cp:lastModifiedBy>
  <cp:revision>10</cp:revision>
  <cp:lastPrinted>2026-01-26T10:52:00Z</cp:lastPrinted>
  <dcterms:created xsi:type="dcterms:W3CDTF">2026-01-20T10:09:00Z</dcterms:created>
  <dcterms:modified xsi:type="dcterms:W3CDTF">2026-01-26T12:37:00Z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0x010100531BBD0A68725346920CD2452CF98116</vt:lpwstr>
  </property>
  <property fmtid="{D5CDD505-2E9C-101B-9397-08002B2CF9AE}" pid="3" name="MediaServiceImageTags">
    <vt:lpwstr/>
  </property>
</Properties>
</file>